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Types>
</file>

<file path=_rels/.rels><?xml version="1.0" encoding="UTF-8" standalone="yes"?>
<Relationships xmlns="http://schemas.openxmlformats.org/package/2006/relationships"><Relationship Target="docProps/app.xml" Type="http://schemas.openxmlformats.org/officeDocument/2006/relationships/extended-properties" Id="rId1"/><Relationship Target="docProps/core.xml" Type="http://schemas.openxmlformats.org/package/2006/relationships/metadata/core-properties" Id="rId2"/><Relationship Target="docProps/custom.xml" Type="http://schemas.openxmlformats.org/officeDocument/2006/relationships/custom-properties" Id="rId3"/><Relationship Target="word/document.xml" Type="http://schemas.openxmlformats.org/officeDocument/2006/relationships/officeDocument" Id="rId4"/></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background w:color="FFFFFF"/>
  <w:body>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1. Tiesību akta projekta izstrādes nepieciešamība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Anotācijas (ex-ante) nosaukums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Tiesību akta projekta "Grozījumi Ministru kabineta 2009. gada 17. februāra noteikumos Nr. 152 "Lopbarības augu sēklaudzēšanas un sēklu tirdzniecības noteikumi"" sākotnējās ietekmes (ex-ante) novērtējuma ziņojums (anotācija)</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1.1. Pamatojums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Izstrādes pamatojums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Ministrijas / iestādes iniciatīva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 Sēklu un šķirņu aprites likuma 2. panta 1. punkta "a" apakšpunkts un 17. panta piektā daļa.</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1.2. Mērķis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Mērķa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Ministru kabineta noteikumu projekta "Grozījumi Ministru kabineta 2009. gada 17. februāra noteikumos Nr. 152 "Lopbarības augu sēklaudzēšanas un sēklu tirdzniecības noteikumi"" (turpmāk – noteikumu projekts) mērķis ir dot iespēju sēklaudzētājam pašam drukāt oficiālās etiķetes, pagarināt termiņu iepriekšējā gadā izaudzētas sēklas sertificēšanai uz diviem gadiem un noteikt, ka lopbarības augu sēklaudzēšanas laukā, kas pieteikts lauku apskatē, nevar būt vairāk kā 25 procenti citi augi, nezāles vai invazīvās augu sugas.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Spēkā stāšanās termiņš</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Vispārējā kārtība</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1.3. Pašreizējā situācija, problēmas un risinājumi</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Pašreizējā situācija</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Šobrīd spēkā ir Ministru kabineta 2009. gada 17. februāra noteikumi Nr. 152 "Lopbarības augu sēklaudzēšanas un sēklu tirdzniecības noteikumi" (turpmāk – noteikumi Nr. 152), kuros noteikts, ka oficiālo etiķeti drukā Valsts augu aizsardzības dienests (turpmāk - dienests). Attīstoties tehnoloģijām un pieejamajiem dažādiem tehnoloģiskajiem rīkiem sēklaudzētāji ir izteikuši vēlmi, ka oficiālās etiķetes varētu drukāt paši, tādā veidā paātrinot sēklu sertifikāciju. </w:t>
      </w:r>
    </w:p>
    <w:p w:rsidP="00000000" w:rsidRDefault="00000000" w:rsidR="00000000" w:rsidRPr="00000000" w:rsidDel="00000000">
      <w:pPr>
        <w:contextualSpacing w:val="0"/>
        <w:spacing w:lineRule="auto" w:line="240"/>
        <w:pBdr/>
      </w:pPr>
      <w:r w:rsidR="00000000" w:rsidRPr="00000000" w:rsidDel="00000000">
        <w:rPr>
          <w:rtl w:val="0"/>
        </w:rPr>
        <w:t xml:space="preserve"/>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Noteikumos Nr. 152 ir noteikta atkārtota sēklu pārbaude pēc noteikta termiņa (noteikumu Nr. 152 19.</w:t>
      </w:r>
      <w:r w:rsidR="00000000" w:rsidRPr="00000000" w:rsidDel="00000000">
        <w:rPr>
          <w:vertAlign w:val="superscript"/>
          <w:rtl w:val="0"/>
        </w:rPr>
        <w:t xml:space="preserve">1</w:t>
      </w:r>
      <w:r w:rsidR="00000000" w:rsidRPr="00000000" w:rsidDel="00000000">
        <w:rPr>
          <w:rtl w:val="0"/>
        </w:rPr>
        <w:t xml:space="preserve"> pielikums "Atkārtotās sēklu pārbaudes termiņi un nosacījumi"). Atkārtota sēklu pārbaude pēc diviem gadiem, gada vai trīs mēnešiem, sēklām, kas nav apstrādātas, un sēklām, kas ir apstrādātas ar biopreparātiem, augu aizsardzības līdzekļiem vai citām ķīmiskām vielām, ir jāveic, ja sēklas ir sertificētas novākšanas gadā, bet ne vēlāk kā līdz 30. jūnijam pēc novākšanas gada. Ir priekšlikums šo termiņu pagarināt.</w:t>
      </w:r>
    </w:p>
    <w:p w:rsidP="00000000" w:rsidRDefault="00000000" w:rsidR="00000000" w:rsidRPr="00000000" w:rsidDel="00000000">
      <w:pPr>
        <w:contextualSpacing w:val="0"/>
        <w:spacing w:lineRule="auto" w:line="240"/>
        <w:pBdr/>
      </w:pPr>
      <w:r w:rsidR="00000000" w:rsidRPr="00000000" w:rsidDel="00000000">
        <w:rPr>
          <w:rtl w:val="0"/>
        </w:rPr>
        <w:t xml:space="preserve"/>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Noteikumu Nr. 152 IV. nodaļā "Sēklaudzēšanai noteiktās prasības" un V. nodaļā "Lauku apskate" ir noteiktas dažādas sējumu izvietošanas un sēklaudzēšanas prasības. Dienesta inspektori veic lauku apskates un pārbauda sēklaudzēšanas lauku atbilstību noteiktajām sēklaudzēšanas prasībām. Daudzgadīgo lopbarības augu sēklaudzēšanas laukos mēdz būt daudzas citas augu sugas - nezāles vai invazīvās augu sugas, tādā apjomā, ka nav iespējams noteikt kāda lopbarības augu suga ir iesēta. Lai sēklaudzētāji nodrošinātu tīrus sēklaudzēšanas sējumus, nepieciešams noteikt pieļaujamo apjomu ar citām augu sugām, kas nav iesētā lopbarības augu suga, kurai veic lauku apskati.</w:t>
      </w:r>
    </w:p>
    <w:p w:rsidP="00000000" w:rsidRDefault="00000000" w:rsidR="00000000" w:rsidRPr="00000000" w:rsidDel="00000000">
      <w:pPr>
        <w:contextualSpacing w:val="0"/>
        <w:spacing w:lineRule="auto" w:line="240"/>
        <w:pBdr/>
      </w:pPr>
      <w:r w:rsidR="00000000" w:rsidRPr="00000000" w:rsidDel="00000000">
        <w:rPr>
          <w:rtl w:val="0"/>
        </w:rPr>
        <w:t xml:space="preserve"/>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Lai veiktu grozījumus noteikumos Nr. 152 ir izstrādāts noteikumu projekts.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Problēmas un risinājumi</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Problēmas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Veicot lauku apskates ir novērots, ka daudzgadīgo lopbarības augu sējumi ir nezāļaini. Bieži vien lopbarības augu sēklaudzēšanas laukos nav iespējams novērtēt attiecīgās sugas identitāti, kas ir pieteikta lauku apskatē, jo sējums ir aizaudzis ar nezālēm vai invazīvajām sugām, kas noteiktas Komisijas 2016. gada 13. jūlija Īstenošanas regulā (ES) 2016/1141, ar ko atbilstīgi Eiropas Parlamenta un Padomes Regulai (ES) Nr. 1143/2014 pieņem sarakstu ar invazīvajām svešzemju sugām, kas rada bažas Savienībai, kā arī ar tādiem augiem, kas augumā pārsniedz iesēto lopbarības augu sugu. Sēklaudzētājam ir jānodrošina, lai sēklaudzēšanas lauki ir apsēti ar attiecīgo lopbarības augu sugu un šķirni, kas ir pieteikta lauku apskatē.</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Risinājuma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Noteikumu projekts paredz papildināt noteikumu Nr. 152 IV nodaļu "Sēklaudzēšanai noteiktās prasības" un V. nodaļu "Lauku apskate" ar nosacījumu, ka sēklaudzēšanas laukā dabiski iesējušos augu (nezāļu) īpatsvars nevar pārsniegt 25 procentus no kopējā lopbarības augu sējuma (noteikumu projekta 1., 2. un 3. punkts). Augi, kas pārsniedz lauku apskatei pieteikto kultūraugu augumu, nedrīkst veidot vairāk nekā 25 procentus no kopējā lopbarības augu sējuma platības, lai netraucētu šķirnes tīrības un identitātes novērtēšanu. Lopbarības augu sējumā nedrīkst būt invazīvās augu sugas. </w:t>
      </w:r>
    </w:p>
    <w:p w:rsidP="00000000" w:rsidRDefault="00000000" w:rsidR="00000000" w:rsidRPr="00000000" w:rsidDel="00000000">
      <w:pPr>
        <w:contextualSpacing w:val="0"/>
        <w:spacing w:lineRule="auto" w:line="240"/>
        <w:pBdr/>
      </w:pPr>
      <w:r w:rsidR="00000000" w:rsidRPr="00000000" w:rsidDel="00000000">
        <w:rPr>
          <w:rtl w:val="0"/>
        </w:rPr>
        <w:t xml:space="preserve"/>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Ja uzsākot sēklaudzēšanas lauka apskati, dienesta inspektors konstatēs neatbilstības, piemēram, pārmērīgu nezāļu daudzumu, invazīvo augu klātbūtni vai gadījumu, kad vairāk nekā 25 procenti no sējuma platības nav iespējams veikt šķirnes identitātes un tīrības novērtēšanu citu augu auguma dēļ, par to nekavējoties tiks informēts sēklaudzētājs. Ja sēklaudzētājs būs pieteicies atbalstam par sertificētas sēklas ieguvi, informācija tiks nodota arī Lauku atbalsta dienestam. Ja trūkumus būs iespējams novērst, tad sēklaudzētājam noteiks termiņu neatbilstību novēršanai, un pēc tam lauka apskati veiks atkārtoti. Ja neatbilstības nebūs novēršamas, tiks uzskatīts, ka no šī lauka nav iegūstams kvalitatīvs sēklas materiāls un sēklaudzēšanas lauku atzīs par sēklaudzēšanai neizmantojamu.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Problēmas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Šobrīd oficiālās etiķetes drukā tikai dienests. Sēklaudzētājs iesniedz iesniegumu dienestā, kurā norāda kādām sēklu partijām, cik daudz un kāda veida (pielīmējamas vai piešujamas) etiķetes ir nepieciešamas. Lai samazinātu slogu dienestam un veicinātu sēklu sertifikāciju noteikumos Nr. 152 nepieciešams noteikt, ka oficiālās etiķetes turpmāk varēs drukāt arī sēklaudzētājs. Šobrīd dienesta drukāta viena etiķete maksā 0,17 eiro. </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Risinājuma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Turpmāk ir paredzēts, ka sēklaudzētājs pats varēs drukāt oficiālās etiķetes, ja dienests būs saņēmis iesniegumu no sēklaudzētāja par vēlmi drukāt etiķetes, un dienests būs izskatījis iesniegumu un apstiprinājis, ka sēklaudzētājs drīkst drukāt oficiālās etiķetes. Sēklaudzētājam būs jānodrošina kvalitatīvu oficiālo etiķešu druka - ar atbilstošu tehnisko aprīkojumu un kvalitatīvām etiķetēm, kā noteikts noteikumos nr. 152 un arī saskaņā ar valstī lietoto oficiālo etiķešu vizuālo noformējumu, kas ir paziņots Eiropas Savienības dalībvalstīm (</w:t>
      </w:r>
      <w:r w:rsidR="00000000" w:rsidRPr="00000000" w:rsidDel="00000000">
        <w:rPr>
          <w:i w:val="1"/>
          <w:rtl w:val="0"/>
        </w:rPr>
        <w:t xml:space="preserve">https://www.escaa.org/index/action/page/id/14/country/LV</w:t>
      </w:r>
      <w:r w:rsidR="00000000" w:rsidRPr="00000000" w:rsidDel="00000000">
        <w:rPr>
          <w:rtl w:val="0"/>
        </w:rPr>
        <w:t xml:space="preserve">). Būs nepieciešams pilnvarot atbildīgo personu, kas drukās etiķetes un veiks to uzskaiti (izdrukātās un iznīcinātās etiķetes drukāšanas laikā). Sēklaudzētājam būs jānorāda atbildīgās personas vārds un uzvārds, kā arī kontaktinformācija - telefona numurs un e-pasts. Informācija paliks tikai dienesta rīcībā. Ja netiks nodrošināta atbilstoša oficiālo etiķešu druka vai netiks uzskaitītas izdrukātās un iznīcinātās etiķetes, tad dienests varēs anulēt lēmumu par atļauju drukāt oficiālās etiķetes. Sēklaudzētājs atkārtoti var pieteikties oficiālo etiķešu drukāšanai, ja būs nodrošinājis atbilstību noteikumu projektā noteiktajām prasībām. Prasības noteiktas noteikumu projekta 4., 5., 6., 7., 8., 9., 10. un 11 punktā.</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Problēmas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Patlaban ir noteikts, ka atkārtota sēklu pārbaude ir pēc diviem gadiem, gada vai trīs mēnešiem, sēklām, kas nav apstrādātas, un sēklām, kas ir apstrādātas ar biopreparātiem, augu aizsardzības līdzekļiem vai citām ķīmiskām vielām, ir jāveic, ja sēklas ir sertificētas novākšanas gadā, bet ne vēlāk kā līdz 30. jūnijam pēc novākšanas gada. Latvijas Sēklaudzētāju asociācija (turpmāk - LSA) ir izteikusi priekšlikumu pagarināt termiņu iepriekšējā ražas gada sēklu sertifikācijai, lai izpildot prasības, sēklas var sertificēt uz diviem gadiem, jo jūlijā un augustā vēl norisinās iepriekšējā gada sēklu sertifikācija.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Risinājuma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LSA priekšlikums ņemts vērā un noteikumu grozījumos noteikts, ka turpmāk atkārtota sēklu pārbaude būs jāveic, ja sēklas sertificētas ne vēlāk kā līdz 31. augustam pēc novākšanas (noteikumu projekta 12. punkts). Šobrīd noteiktais termiņš ir 30. jūnijs.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ir izvērtēti alternatīvie risinājumi?</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ir izvērtēts prasību un izmaksu samērīgums pret ieguvumiem?</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1.4. Izvērtējumi/pētījumi, kas pamato TA nepieciešamību</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1.5. Pēcpārbaudes (ex-post) izvērtējums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tiks veikts?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1.6. Cita informācija</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2. Tiesību akta projekta ietekmējamās sabiedrības grupas, ietekme uz tautsaimniecības attīstību un administratīvo slogu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Jā</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2.1. Sabiedrības grupas, kuras tiesiskais regulējums ietekmē, vai varētu ietekmēt</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Fiziskās personas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Jā</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Ietekmes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Noteikumu projekts attiecas uz tām fiziskām personām, kas reģistrētas Kultūraugu uzraudzības valsts informācijas sistēmas Sēklaudzētāju un sēklu tirgotāju reģistrā un nodarbojas ar lopbarības augu sēklaudzēšanu un tirdzniecību.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Juridiskās personas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Lopbarības augu sēklaudzētāji</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Ietekmes 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Noteikumu projekts attiecas uz tām juridiskām personām, kas reģistrētas Kultūraugu uzraudzības valsts informācijas sistēmas Sēklaudzētāju un sēklu tirgotāju reģistrā un nodarbojas ar lopbarības augu sēklaudzēšanu un tirdzniecību.</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2.2. Tiesiskā regulējuma ietekme uz tautsaimniecību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2.3. Administratīvo izmaksu novērtējums juridiskām personām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Jā</w:t>
      </w:r>
    </w:p>
    <w:tbl>
      <w:tblPr>
        <w:tblStyle w:val="DefaultTable"/>
        <w:bidiVisual w:val="0"/>
        <w:tblW w:w="9642.0" w:type="dxa"/>
        <w:tblInd w:w="0.0" w:type="dxa"/>
        <w:jc w:val="left"/>
        <w:tblBorders>
          <w:top w:color="auto" w:val="single" w:sz="5" w:space="0"/>
          <w:left w:color="auto" w:val="single" w:sz="5" w:space="0"/>
          <w:bottom w:color="auto" w:val="single" w:sz="5" w:space="0"/>
          <w:right w:color="auto" w:val="single" w:sz="5" w:space="0"/>
          <w:insideH w:color="auto" w:val="single" w:sz="5" w:space="0"/>
          <w:insideV w:color="auto" w:val="single" w:sz="5" w:space="0"/>
        </w:tblBorders>
        <w:tblLayout w:type="fixed"/>
        <w:tblLook w:val="0600"/>
      </w:tblPr>
      <w:tblGrid>
        <w:gridCol w:w="1205"/>
        <w:gridCol w:w="1205"/>
        <w:gridCol w:w="1205"/>
        <w:gridCol w:w="1205"/>
        <w:gridCol w:w="1205"/>
        <w:gridCol w:w="1205"/>
        <w:gridCol w:w="1206"/>
        <w:gridCol w:w="1206"/>
        <w:tblGridChange w:id="0">
          <w:tblGrid>
            <w:gridCol w:w="1205"/>
            <w:gridCol w:w="1205"/>
            <w:gridCol w:w="1205"/>
            <w:gridCol w:w="1205"/>
            <w:gridCol w:w="1205"/>
            <w:gridCol w:w="1205"/>
            <w:gridCol w:w="1206"/>
            <w:gridCol w:w="1206"/>
          </w:tblGrid>
        </w:tblGridChange>
      </w:tblGrid>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Sabiedrības grupa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Palielinās/samazinās</w:t>
            </w:r>
          </w:p>
        </w:tc>
        <w:tc>
          <w:tcPr>
            <w:shd w:fill="ffffff"/>
            <w:vAlign w:val="center"/>
            <w:noWrap w:val="true"/>
            <w:gridSpan w:val="1"/>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Stundas samaksas likme - </w:t>
            </w:r>
            <w:r w:rsidR="00000000" w:rsidRPr="00000000" w:rsidDel="00000000">
              <w:rPr>
                <w:sz w:val="24"/>
                <w:b w:val="1"/>
                <w:i w:val="1"/>
                <w:rtl w:val="0"/>
              </w:rPr>
              <w:t xml:space="preserve">euro</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Laika patēriņš uz vienību - stundās</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Subjektu skaits</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Cik bieži - reizes gadā</w:t>
            </w:r>
          </w:p>
        </w:tc>
        <w:tc>
          <w:tcPr>
            <w:shd w:fill="ffffff"/>
            <w:vAlign w:val="center"/>
            <w:noWrap w:val="true"/>
            <w:gridSpan w:val="1"/>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Administratīvās izmaksas - </w:t>
            </w:r>
            <w:r w:rsidR="00000000" w:rsidRPr="00000000" w:rsidDel="00000000">
              <w:rPr>
                <w:sz w:val="24"/>
                <w:b w:val="1"/>
                <w:i w:val="1"/>
                <w:rtl w:val="0"/>
              </w:rPr>
              <w:t xml:space="preserve">euro</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Aprēķinu skaidrojums</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Lopbarības augu sēklaudzētāji</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palielinās</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Vērtības nozīme:</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10,33</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Strādājošo mēneša vidējā darba samaksa lauksaimniecībā, bruto, CSP dati</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1,00</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Iesnieguma aizpildīšana un iesniegšana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10</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Lopbarības augu sēklaudzētāji, kas vēlas paši drukāt oficiālās sēklu etiķetes</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1</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Vienreizēji iesniedzams iesniegums, uz kura pamata dienests apstiprina, ka sēklaudzētājs drīkst drukāt oficiālās etiķetes</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103,30</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Lai dienests izvērtētu un apstiprinātu, ka sēklaudzētājs var veikt sēklu oficiālo etiķešu drukāšanu, sēklaudzētājam pirms drukāšanas uzsākšanas iesniedz iesniegumu dienestā.</w:t>
            </w:r>
          </w:p>
        </w:tc>
      </w:tr>
      <w:tr>
        <w:tc>
          <w:tcPr>
            <w:shd w:fill="ffffff"/>
            <w:vAlign w:val="center"/>
            <w:noWrap w:val="true"/>
            <w:gridSpan w:val="6"/>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Kopā</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103,30</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p>
        </w:tc>
      </w:tr>
    </w:tbl>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2.4. Administratīvā sloga novērtējums fiziskām personām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2.5. Atbilstības izmaksu novērtējums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Jā</w:t>
      </w:r>
    </w:p>
    <w:tbl>
      <w:tblPr>
        <w:tblStyle w:val="DefaultTable"/>
        <w:bidiVisual w:val="0"/>
        <w:tblW w:w="9642.0" w:type="dxa"/>
        <w:tblInd w:w="0.0" w:type="dxa"/>
        <w:jc w:val="left"/>
        <w:tblBorders>
          <w:top w:color="auto" w:val="single" w:sz="5" w:space="0"/>
          <w:left w:color="auto" w:val="single" w:sz="5" w:space="0"/>
          <w:bottom w:color="auto" w:val="single" w:sz="5" w:space="0"/>
          <w:right w:color="auto" w:val="single" w:sz="5" w:space="0"/>
          <w:insideH w:color="auto" w:val="single" w:sz="5" w:space="0"/>
          <w:insideV w:color="auto" w:val="single" w:sz="5" w:space="0"/>
        </w:tblBorders>
        <w:tblLayout w:type="fixed"/>
        <w:tblLook w:val="0600"/>
      </w:tblPr>
      <w:tblGrid>
        <w:gridCol w:w="1607"/>
        <w:gridCol w:w="1607"/>
        <w:gridCol w:w="1607"/>
        <w:gridCol w:w="1607"/>
        <w:gridCol w:w="1607"/>
        <w:gridCol w:w="1607"/>
        <w:tblGridChange w:id="0">
          <w:tblGrid>
            <w:gridCol w:w="1607"/>
            <w:gridCol w:w="1607"/>
            <w:gridCol w:w="1607"/>
            <w:gridCol w:w="1607"/>
            <w:gridCol w:w="1607"/>
            <w:gridCol w:w="1607"/>
          </w:tblGrid>
        </w:tblGridChange>
      </w:tblGrid>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Sabiedrības grupa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Vai ietekmē?</w:t>
            </w:r>
          </w:p>
        </w:tc>
        <w:tc>
          <w:tcPr>
            <w:shd w:fill="ffffff"/>
            <w:vAlign w:val="center"/>
            <w:noWrap w:val="true"/>
            <w:gridSpan w:val="1"/>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Izmaksas par vienību - </w:t>
            </w:r>
            <w:r w:rsidR="00000000" w:rsidRPr="00000000" w:rsidDel="00000000">
              <w:rPr>
                <w:sz w:val="24"/>
                <w:b w:val="1"/>
                <w:i w:val="1"/>
                <w:rtl w:val="0"/>
              </w:rPr>
              <w:t xml:space="preserve">euro</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Vienību skaits</w:t>
            </w:r>
          </w:p>
        </w:tc>
        <w:tc>
          <w:tcPr>
            <w:shd w:fill="ffffff"/>
            <w:vAlign w:val="center"/>
            <w:noWrap w:val="true"/>
            <w:gridSpan w:val="1"/>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Atbilstības izmaksas - </w:t>
            </w:r>
            <w:r w:rsidR="00000000" w:rsidRPr="00000000" w:rsidDel="00000000">
              <w:rPr>
                <w:sz w:val="24"/>
                <w:b w:val="1"/>
                <w:i w:val="1"/>
                <w:rtl w:val="0"/>
              </w:rPr>
              <w:t xml:space="preserve">euro</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Aprēķinu skaidrojums</w:t>
            </w:r>
          </w:p>
        </w:tc>
      </w:tr>
      <w:tr>
        <w:tc>
          <w:tcPr>
            <w:shd w:fill="ffffff"/>
            <w:vAlign w:val="center"/>
            <w:noWrap w:val="true"/>
            <w:gridSpan w:val="2"/>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Juridiskās personas</w:t>
            </w:r>
          </w:p>
        </w:tc>
        <w:tc>
          <w:tcPr>
            <w:shd w:fill="ffffff"/>
            <w:vAlign w:val="center"/>
            <w:noWrap w:val="true"/>
            <w:gridSpan w:val="2"/>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Kopā (juridiskās personas)</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14 775,60</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Lopbarības augu sēklaudzētāji</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Jā</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Vērtības nozīme:</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1 477,56</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28 etiķešu izgatavošana (industriālais ātrgaitas etiķešu printeris, etiķetes, termodrukas lenta)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10</w:t>
            </w:r>
          </w:p>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Lopbarības augu sēklaudzētāji, kas vēlas paši nodrošināt oficiālo etiķešu druku</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14 775,60</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Industriālais ātrgaitas etiķešu printeris (vienreizēja investīcija) (1467 eiro),  etiķete (0,02 eiro/gab.), termodrukas lenta 3 metri (10 eiro) (pietiek aptuveni 28 oficiālo etiķešu izgatavošanai (oficiālas etiķetes izmēri ir 110 mm * 67 mm)).</w:t>
            </w:r>
          </w:p>
        </w:tc>
      </w:tr>
      <w:tr>
        <w:tc>
          <w:tcPr>
            <w:shd w:fill="ffffff"/>
            <w:vAlign w:val="center"/>
            <w:noWrap w:val="true"/>
            <w:gridSpan w:val="4"/>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Kopā</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right"/>
              <w:spacing w:lineRule="auto" w:line="240"/>
              <w:pBdr/>
            </w:pPr>
            <w:r w:rsidR="00000000" w:rsidRPr="00000000" w:rsidDel="00000000">
              <w:rPr>
                <w:rtl w:val="0"/>
              </w:rPr>
              <w:t xml:space="preserve"/>
            </w:r>
            <w:r w:rsidR="00000000" w:rsidRPr="00000000" w:rsidDel="00000000">
              <w:rPr>
                <w:sz w:val="24"/>
                <w:rtl w:val="0"/>
              </w:rPr>
              <w:t xml:space="preserve">14 775,60</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p>
        </w:tc>
      </w:tr>
    </w:tbl>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3. Tiesību akta projekta ietekme uz valsts budžetu un pašvaldību budžetiem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Cita informācija</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4. Tiesību akta projekta ietekme uz spēkā esošo tiesību normu sistēmu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4.2. Cita informācija</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5. Tiesību akta projekta atbilstība Latvijas Republikas starptautiskajām saistībām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5.3. Cita informācija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Apraksts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6. Projekta izstrādē iesaistītās institūcijas un sabiedrības līdzdalības process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Sabiedrības līdzdalība uz šo tiesību akta projektu neattiecas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6.1. Projekta izstrādē iesaistītās institūcijas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Valsts un pašvaldību institūcijas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Valsts augu aizsardzības dienests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Nevalstiskās organizācijas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Biedrība "Lauksaimniecības organizāciju sadarbības padome", Biedrība Zemnieku saeima, Latvijas Lauksaimniecības kooperatīvu asociācija, Latvijas Sēklaudzētāju asociācija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Cits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6.2. Sabiedrības līdzdalības organizēšanas veidi</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Veids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Publiskā apspriešana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Saite uz sabiedrības līdzdalības rezultātiem</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6.3. Sabiedrības līdzdalības rezultāti</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6.4. Cita informācija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Cita informācija</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7. Tiesību akta projekta izpildes nodrošināšana un tās ietekme uz institūcijām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Jā</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7.1. Projekta izpildē iesaistītās institūcijas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Institūcijas</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Valsts augu aizsardzības dienests</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7.2. Administratīvo izmaksu monetārs novērtējums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7.3. Atbilstības izmaksu monetārs novērtējums</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7.4. Projekta izpildes ietekme uz pārvaldes funkcijām un institucionālo struktūru</w:t>
      </w:r>
    </w:p>
    <w:tbl>
      <w:tblPr>
        <w:tblStyle w:val="DefaultTable"/>
        <w:bidiVisual w:val="0"/>
        <w:tblW w:w="9642.0" w:type="dxa"/>
        <w:tblInd w:w="0.0" w:type="dxa"/>
        <w:jc w:val="left"/>
        <w:tblBorders>
          <w:top w:color="auto" w:val="single" w:sz="5" w:space="0"/>
          <w:left w:color="auto" w:val="single" w:sz="5" w:space="0"/>
          <w:bottom w:color="auto" w:val="single" w:sz="5" w:space="0"/>
          <w:right w:color="auto" w:val="single" w:sz="5" w:space="0"/>
          <w:insideH w:color="auto" w:val="single" w:sz="5" w:space="0"/>
          <w:insideV w:color="auto" w:val="single" w:sz="5" w:space="0"/>
        </w:tblBorders>
        <w:tblLayout w:type="fixed"/>
        <w:tblLook w:val="0600"/>
      </w:tblPr>
      <w:tblGrid>
        <w:gridCol w:w="4371"/>
        <w:gridCol w:w="900"/>
        <w:gridCol w:w="4371"/>
        <w:tblGridChange w:id="0">
          <w:tblGrid>
            <w:gridCol w:w="4371"/>
            <w:gridCol w:w="900"/>
            <w:gridCol w:w="4371"/>
          </w:tblGrid>
        </w:tblGridChange>
      </w:tblGrid>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Ietekme</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Jā/Nē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b w:val="1"/>
                <w:rtl w:val="0"/>
              </w:rPr>
              <w:t xml:space="preserve">Skaidrojums</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1. Tiks veidota jauna institūcija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2. Tiks likvidēta institūcija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3. Tiks veikta esošās institūcijas reorganizācija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4. Institūcijas funkcijas un uzdevumi tiks mainīti (paplašināti vai sašaurināti)</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Jā</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Dienestam saņemot sēklaudzētāja iesniegumu par vēlmi pašam drukāt oficiālās etiķestes būs tas jāizvērtē un jāapstiprina, ka sēklaudzētājs drīkst drukāt oficiālo etiķeti.</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Dienesta inspektors novērtēs sēklaudzēšanas lauka pārmērīgo nezāļu daudzumu (vairāk par 25 procentiem no lauka), invazīvo augu klātbūtni vai gadījumu, kad vairāk nekā 25 procenti no sējuma platības nav iespējams veikt šķirnes identitātes un tīrības novērtēšanu citu augu auguma dēļ, un varēs atteikt lauka apskati.</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5. Tiks veikta iekšējo institūcijas procesu efektivizācija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6. Tiks veikta iekšējo institūcijas procesu digitalizācija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7. Tiks veikta iekšējo institūcijas procesu optimizācija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w:t>
            </w:r>
          </w:p>
        </w:tc>
      </w:tr>
      <w:tr>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8. Cita informācija</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jc w:val="left"/>
              <w:spacing w:lineRule="auto" w:line="240"/>
              <w:pBdr/>
            </w:pPr>
            <w:r w:rsidR="00000000" w:rsidRPr="00000000" w:rsidDel="00000000">
              <w:rPr>
                <w:rtl w:val="0"/>
              </w:rPr>
              <w:t xml:space="preserve"/>
            </w:r>
            <w:r w:rsidR="00000000" w:rsidRPr="00000000" w:rsidDel="00000000">
              <w:rPr>
                <w:sz w:val="24"/>
                <w:rtl w:val="0"/>
              </w:rPr>
              <w:t xml:space="preserve">Nē</w:t>
            </w:r>
          </w:p>
        </w:tc>
        <w:tc>
          <w:tcPr>
            <w:shd w:fill="ffffff"/>
            <w:vAlign w:val="center"/>
            <w:noWrap w:val="true"/>
            <w:tcMar>
              <w:top w:w="75.0" w:type="dxa"/>
              <w:left w:w="75.0" w:type="dxa"/>
              <w:bottom w:w="75.0" w:type="dxa"/>
              <w:right w:w="75.0" w:type="dxa"/>
            </w:tcMar>
            <w:tcBorders/>
          </w:tcPr>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sz w:val="24"/>
                <w:rtl w:val="0"/>
              </w:rPr>
              <w:t xml:space="preserve">-</w:t>
            </w:r>
          </w:p>
        </w:tc>
      </w:tr>
    </w:tbl>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7.5. Cita informācija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Cita informācija</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p w:rsidP="00000000" w:rsidRDefault="00000000" w:rsidR="00000000" w:rsidRPr="00000000" w:rsidDel="00000000">
      <w:pPr>
        <w:contextualSpacing w:val="0"/>
        <w:spacing w:before="180" w:beforeAutospacing="0"/>
        <w:spacing w:lineRule="auto" w:line="240"/>
        <w:pBdr/>
      </w:pPr>
      <w:r w:rsidR="00000000" w:rsidRPr="00000000" w:rsidDel="00000000">
        <w:rPr>
          <w:rtl w:val="0"/>
        </w:rPr>
        <w:t xml:space="preserve"/>
      </w:r>
      <w:r w:rsidR="00000000" w:rsidRPr="00000000" w:rsidDel="00000000">
        <w:rPr>
          <w:sz w:val="32"/>
          <w:b w:val="1"/>
          <w:rtl w:val="0"/>
        </w:rPr>
        <w:t xml:space="preserve">8. Horizontālās ietekmes</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 Projekta tiesiskā regulējuma ietekme</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 uz publisku pakalpojumu attīstību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8.1.2. uz valsts un pašvaldību informācijas un komunikācijas tehnoloģiju attīstību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8.1.3. uz informācijas sabiedrības politikas īstenošanu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8.1.4. uz Nacionālā attīstības plāna rādītājiem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8.1.5. uz teritoriju attīstību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8.1.6. uz vidi</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8.1.7. uz klimatneitralitāti</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8.1.8. uz iedzīvotāju sociālo situāciju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8.1.9. uz personu ar invaliditāti vienlīdzīgām iespējām un tiesībām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8.1.10. uz dzimumu līdztiesību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8.1.11. uz veselību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8.1.12. uz cilvēktiesībām, demokrātiskām vērtībām un pilsoniskās sabiedrības attīstību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8.1.13. uz datu aizsardzību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8.1.14. uz diasporu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8.1.15. uz profesiju reglamentāciju</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8.1.16. uz bērna labākajām interesēm</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Vai projekts skar šo jomu?</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Nē</w:t>
      </w:r>
    </w:p>
    <w:p w:rsidP="00000000" w:rsidRDefault="00000000" w:rsidR="00000000" w:rsidRPr="00000000" w:rsidDel="00000000">
      <w:pPr>
        <w:contextualSpacing w:val="0"/>
        <w:spacing w:before="270" w:beforeAutospacing="0"/>
        <w:spacing w:after="180" w:afterAutospacing="0"/>
        <w:spacing w:lineRule="auto" w:line="240"/>
        <w:pBdr/>
      </w:pPr>
      <w:r w:rsidR="00000000" w:rsidRPr="00000000" w:rsidDel="00000000">
        <w:rPr>
          <w:rtl w:val="0"/>
        </w:rPr>
        <w:t xml:space="preserve"/>
      </w:r>
      <w:r w:rsidR="00000000" w:rsidRPr="00000000" w:rsidDel="00000000">
        <w:rPr>
          <w:sz w:val="30"/>
          <w:b w:val="1"/>
          <w:rtl w:val="0"/>
        </w:rPr>
        <w:t xml:space="preserve">8.2. Cita informācija</w:t>
      </w:r>
    </w:p>
    <w:p w:rsidP="00000000" w:rsidRDefault="00000000" w:rsidR="00000000" w:rsidRPr="00000000" w:rsidDel="00000000">
      <w:pPr>
        <w:contextualSpacing w:val="0"/>
        <w:spacing w:before="90" w:beforeAutospacing="0"/>
        <w:spacing w:after="90" w:afterAutospacing="0"/>
        <w:spacing w:lineRule="auto" w:line="240"/>
        <w:pBdr/>
      </w:pPr>
      <w:r w:rsidR="00000000" w:rsidRPr="00000000" w:rsidDel="00000000">
        <w:rPr>
          <w:rtl w:val="0"/>
        </w:rPr>
        <w:t xml:space="preserve"/>
      </w:r>
      <w:r w:rsidR="00000000" w:rsidRPr="00000000" w:rsidDel="00000000">
        <w:rPr>
          <w:b w:val="1"/>
          <w:rtl w:val="0"/>
        </w:rPr>
        <w:t xml:space="preserve">Cita informācija</w:t>
      </w:r>
    </w:p>
    <w:p w:rsidP="00000000" w:rsidRDefault="00000000" w:rsidR="00000000" w:rsidRPr="00000000" w:rsidDel="00000000">
      <w:pPr>
        <w:contextualSpacing w:val="0"/>
        <w:spacing w:lineRule="auto" w:line="240"/>
        <w:pBdr/>
      </w:pPr>
      <w:r w:rsidR="00000000" w:rsidRPr="00000000" w:rsidDel="00000000">
        <w:rPr>
          <w:rtl w:val="0"/>
        </w:rPr>
        <w:t xml:space="preserve"/>
      </w:r>
      <w:r w:rsidR="00000000" w:rsidRPr="00000000" w:rsidDel="00000000">
        <w:rPr>
          <w:rtl w:val="0"/>
        </w:rPr>
        <w:t xml:space="preserve">-</w:t>
      </w:r>
    </w:p>
    <w:sectPr>
      <w:headerReference r:id="rId7" w:type="default"/>
      <w:headerReference r:id="rId8" w:type="first"/>
      <w:footerReference r:id="rId2" w:type="default"/>
      <w:footerReference r:id="rId3" w:type="first"/>
      <w:titlePg w:val="true"/>
      <w:pgSz w:w="11908" w:h="16833" w:orient="portrait"/>
      <w:pgMar w:top="1133" w:bottom="1133" w:left="1133" w:right="1133"/>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font w:name="Arial"/>
  <w:font w:name="Trebuchet M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p w:rsidP="00000000" w:rsidRDefault="00000000" w:rsidR="00000000" w:rsidRPr="00000000" w:rsidDel="00000000">
    <w:pPr>
      <w:contextualSpacing w:val="0"/>
      <w:jc w:val="right"/>
    </w:pPr>
    <w:r w:rsidR="00000000" w:rsidRPr="00000000" w:rsidDel="00000000">
      <w:rPr>
        <w:sz w:val="24"/>
        <w:szCs w:val="24"/>
      </w:rPr>
      <w:fldChar w:fldCharType="begin"/>
      <w:instrText xml:space="preserve">PAGE</w:instrText>
      <w:fldChar w:fldCharType="end"/>
    </w:r>
    <w:r w:rsidR="00000000" w:rsidRPr="00000000" w:rsidDel="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p w:rsidP="00000000" w:rsidRDefault="00000000" w:rsidR="00000000" w:rsidRPr="00000000" w:rsidDel="00000000">
    <w:pPr>
      <w:pStyle w:val="header"/>
      <w:contextualSpacing w:val="0"/>
      <w:spacing w:lineRule="auto" w:line="240"/>
      <w:pBdr/>
    </w:pPr>
    <w:r w:rsidR="00000000" w:rsidRPr="00000000" w:rsidDel="00000000">
      <w:rPr>
        <w:rStyle w:val="header"/>
        <w:rtl w:val="0"/>
      </w:rPr>
      <w:t xml:space="preserve"/>
    </w:r>
    <w:r w:rsidR="00000000" w:rsidRPr="00000000" w:rsidDel="00000000">
      <w:rPr>
        <w:rtl w:val="0"/>
      </w:rPr>
      <w:t xml:space="preserve">Anotācija (ex-ante) 24-TA-3183</w:t>
    </w:r>
    <w:r>
      <w:br/>
    </w:r>
    <w:r w:rsidR="00000000" w:rsidRPr="00000000" w:rsidDel="00000000">
      <w:rPr>
        <w:rtl w:val="0"/>
      </w:rPr>
      <w:t xml:space="preserve">Izdrukāts 12.06.2025. 14.32 - 1.0 Redakcija</w:t>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p w:rsidP="00000000" w:rsidRDefault="00000000" w:rsidR="00000000" w:rsidRPr="00000000" w:rsidDel="00000000">
    <w:pPr>
      <w:pStyle w:val="header"/>
      <w:contextualSpacing w:val="0"/>
      <w:spacing w:lineRule="auto" w:line="240"/>
      <w:pBdr/>
    </w:pPr>
    <w:r w:rsidR="00000000" w:rsidRPr="00000000" w:rsidDel="00000000">
      <w:rPr>
        <w:rStyle w:val="header"/>
        <w:rtl w:val="0"/>
      </w:rPr>
      <w:t xml:space="preserve"/>
    </w:r>
    <w:r w:rsidR="00000000" w:rsidRPr="00000000" w:rsidDel="00000000">
      <w:rPr>
        <w:rtl w:val="0"/>
      </w:rPr>
      <w:t xml:space="preserve">Anotācija (ex-ante) 24-TA-3183</w:t>
    </w:r>
    <w:r>
      <w:br/>
    </w:r>
    <w:r w:rsidR="00000000" w:rsidRPr="00000000" w:rsidDel="00000000">
      <w:rPr>
        <w:rtl w:val="0"/>
      </w:rPr>
      <w:t xml:space="preserve">Izdrukāts 12.06.2025. 14.32 - 1.0 Redakcija</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ocDefaults>
    <w:rPrDefault>
      <w:rPr>
        <w:rFonts w:cs="Times New Roman" w:hAnsi="Times New Roman" w:eastAsia="Times New Roman" w:ascii="Times New Roman"/>
        <w:b w:val="0"/>
        <w:i w:val="0"/>
        <w:caps w:val="0"/>
        <w:smallCaps w:val="0"/>
        <w:strike w:val="0"/>
        <w:color w:val="333333"/>
        <w:sz w:val="28"/>
        <w:u w:val="none"/>
        <w:vertAlign w:val="baseline"/>
        <w:lang w:val="lv-LV"/>
      </w:rPr>
    </w:rPrDefault>
    <w:pPrDefault>
      <w:pPr>
        <w:keepNext w:val="0"/>
        <w:keepLines w:val="0"/>
        <w:widowControl w:val="1"/>
        <w:spacing w:lineRule="auto" w:before="0" w:after="0" w:line="240"/>
        <w:ind w:left="0" w:right="0" w:firstLine="0"/>
        <w:jc w:val="both"/>
      </w:pPr>
    </w:pPrDefault>
  </w:docDefaults>
  <w:style w:styleId="Normal" w:type="paragraph" w:default="1">
    <w:name w:val="normal"/>
  </w:style>
  <w:style w:styleId="TableNormal" w:type="table" w:default="1">
    <w:name w:val="Table Normal"/>
    <w:pPr>
      <w:spacing w:lineRule="auto" w:line="644.0" w:before="0" w:after="0"/>
    </w:pPr>
  </w:style>
  <w:style w:styleId="Heading1" w:type="paragraph">
    <w:name w:val="heading 1"/>
    <w:basedOn w:val="Normal"/>
    <w:next w:val="Normal"/>
    <w:pPr>
      <w:keepNext w:val="0"/>
      <w:keepLines w:val="0"/>
      <w:widowControl w:val="1"/>
      <w:spacing w:lineRule="auto" w:after="120"/>
      <w:contextualSpacing w:val="1"/>
    </w:pPr>
    <w:rPr>
      <w:rFonts w:cs="Palatino" w:hAnsi="Palatino" w:eastAsia="Palatino" w:ascii="Palatino"/>
      <w:sz w:val="36"/>
    </w:rPr>
  </w:style>
  <w:style w:styleId="Heading2" w:type="paragraph">
    <w:name w:val="heading 2"/>
    <w:basedOn w:val="Normal"/>
    <w:next w:val="Normal"/>
    <w:pPr>
      <w:keepNext w:val="0"/>
      <w:keepLines w:val="0"/>
      <w:widowControl w:val="1"/>
      <w:spacing w:lineRule="auto" w:before="120" w:after="160"/>
      <w:contextualSpacing w:val="1"/>
    </w:pPr>
    <w:rPr>
      <w:rFonts w:cs="Arial" w:hAnsi="Arial" w:eastAsia="Arial" w:ascii="Arial"/>
      <w:b w:val="1"/>
      <w:sz w:val="26"/>
    </w:rPr>
  </w:style>
  <w:style w:styleId="Heading3" w:type="paragraph">
    <w:name w:val="heading 3"/>
    <w:basedOn w:val="Normal"/>
    <w:next w:val="Normal"/>
    <w:pPr>
      <w:keepNext w:val="0"/>
      <w:keepLines w:val="0"/>
      <w:widowControl w:val="1"/>
      <w:spacing w:lineRule="auto" w:before="120" w:after="160"/>
      <w:contextualSpacing w:val="1"/>
    </w:pPr>
    <w:rPr>
      <w:rFonts w:cs="Arial" w:hAnsi="Arial" w:eastAsia="Arial" w:ascii="Arial"/>
      <w:b w:val="1"/>
      <w:i w:val="1"/>
      <w:color w:val="666666"/>
      <w:sz w:val="24"/>
    </w:rPr>
  </w:style>
  <w:style w:styleId="Heading4" w:type="paragraph">
    <w:name w:val="heading 4"/>
    <w:basedOn w:val="Normal"/>
    <w:next w:val="Normal"/>
    <w:pPr>
      <w:keepNext w:val="0"/>
      <w:keepLines w:val="0"/>
      <w:widowControl w:val="1"/>
      <w:spacing w:lineRule="auto" w:before="120" w:after="120"/>
      <w:contextualSpacing w:val="1"/>
    </w:pPr>
    <w:rPr>
      <w:rFonts w:cs="Palatino" w:hAnsi="Palatino" w:eastAsia="Palatino" w:ascii="Palatino"/>
      <w:b w:val="1"/>
      <w:sz w:val="24"/>
    </w:rPr>
  </w:style>
  <w:style w:styleId="Heading5" w:type="paragraph">
    <w:name w:val="heading 5"/>
    <w:basedOn w:val="Normal"/>
    <w:next w:val="Normal"/>
    <w:pPr>
      <w:keepNext w:val="0"/>
      <w:keepLines w:val="0"/>
      <w:widowControl w:val="1"/>
      <w:spacing w:lineRule="auto" w:before="120" w:after="120"/>
      <w:contextualSpacing w:val="1"/>
    </w:pPr>
    <w:rPr>
      <w:rFonts w:cs="Arial" w:hAnsi="Arial" w:eastAsia="Arial" w:ascii="Arial"/>
      <w:b w:val="1"/>
      <w:sz w:val="22"/>
    </w:rPr>
  </w:style>
  <w:style w:styleId="Heading6" w:type="paragraph">
    <w:name w:val="heading 6"/>
    <w:basedOn w:val="Normal"/>
    <w:next w:val="Normal"/>
    <w:pPr>
      <w:keepNext w:val="0"/>
      <w:keepLines w:val="0"/>
      <w:widowControl w:val="1"/>
      <w:spacing w:lineRule="auto" w:before="120" w:after="120"/>
      <w:contextualSpacing w:val="1"/>
    </w:pPr>
    <w:rPr>
      <w:rFonts w:cs="Arial" w:hAnsi="Arial" w:eastAsia="Arial" w:ascii="Arial"/>
      <w:i w:val="1"/>
      <w:color w:val="666666"/>
      <w:sz w:val="22"/>
      <w:u w:val="single"/>
    </w:rPr>
  </w:style>
  <w:style w:styleId="Title" w:type="paragraph">
    <w:name w:val="title"/>
    <w:basedOn w:val="Normal"/>
    <w:next w:val="Normal"/>
    <w:pPr>
      <w:keepNext w:val="0"/>
      <w:keepLines w:val="0"/>
      <w:widowControl w:val="1"/>
      <w:contextualSpacing w:val="1"/>
    </w:pPr>
    <w:rPr>
      <w:rFonts w:cs="Palatino" w:hAnsi="Palatino" w:eastAsia="Palatino" w:ascii="Palatino"/>
      <w:sz w:val="60"/>
    </w:rPr>
  </w:style>
  <w:style w:styleId="Subtitle" w:type="paragraph">
    <w:name w:val="subtitle"/>
    <w:basedOn w:val="Normal"/>
    <w:next w:val="Normal"/>
    <w:pPr>
      <w:keepNext w:val="0"/>
      <w:keepLines w:val="0"/>
      <w:widowControl w:val="1"/>
      <w:spacing w:lineRule="auto" w:before="60"/>
      <w:contextualSpacing w:val="1"/>
    </w:pPr>
    <w:rPr>
      <w:rFonts w:cs="Arial" w:hAnsi="Arial" w:eastAsia="Arial" w:ascii="Arial"/>
      <w:sz w:val="28"/>
    </w:rPr>
  </w:style>
  <w:style w:styleId="paragraph" w:type="paragraph">
    <w:name w:val="paragraph"/>
    <w:basedOn w:val="Normal"/>
    <w:next w:val="Normal"/>
    <w:pPr>
      <w:keepNext w:val="0"/>
      <w:keepLines w:val="0"/>
      <w:widowControl w:val="1"/>
      <w:spacing w:lineRule="auto" w:line="240"/>
      <w:contextualSpacing w:val="1"/>
    </w:pPr>
    <w:rPr/>
  </w:style>
  <w:style w:styleId="paragraph_header" w:type="paragraph">
    <w:name w:val="paragraph_header"/>
    <w:basedOn w:val="Normal"/>
    <w:next w:val="Normal"/>
    <w:pPr>
      <w:keepNext w:val="0"/>
      <w:keepLines w:val="0"/>
      <w:widowControl w:val="1"/>
      <w:spacing w:lineRule="auto" w:before="280" w:after="280" w:line="240"/>
      <w:contextualSpacing w:val="1"/>
    </w:pPr>
    <w:rPr/>
  </w:style>
  <w:style w:styleId="header" w:type="paragraph">
    <w:name w:val="header"/>
    <w:basedOn w:val="Normal"/>
    <w:next w:val="Normal"/>
    <w:pPr>
      <w:keepNext w:val="0"/>
      <w:keepLines w:val="0"/>
      <w:widowControl w:val="1"/>
      <w:spacing w:lineRule="auto" w:after="280" w:line="240"/>
      <w:contextualSpacing w:val="1"/>
      <w:jc w:val="right"/>
    </w:pPr>
    <w:rPr>
      <w:sz w:val="24"/>
    </w:rPr>
  </w:style>
  <w:style w:styleId="signed_document_paragraph" w:type="paragraph">
    <w:name w:val="signed_document_paragraph"/>
    <w:basedOn w:val="Normal"/>
    <w:next w:val="Normal"/>
    <w:pPr>
      <w:keepNext w:val="0"/>
      <w:keepLines w:val="0"/>
      <w:widowControl w:val="1"/>
      <w:contextualSpacing w:val="1"/>
      <w:jc w:val="right"/>
    </w:pPr>
    <w:rPr>
      <w:sz w:val="24"/>
    </w:rPr>
  </w:style>
  <w:style w:styleId="bold_paragraph_header" w:type="paragraph">
    <w:name w:val="bold_paragraph_header"/>
    <w:basedOn w:val="Normal"/>
    <w:next w:val="Normal"/>
    <w:pPr>
      <w:keepNext w:val="0"/>
      <w:keepLines w:val="0"/>
      <w:widowControl w:val="1"/>
      <w:spacing w:lineRule="auto" w:line="240"/>
      <w:contextualSpacing w:val="1"/>
      <w:jc w:val="center"/>
    </w:pPr>
    <w:rPr>
      <w:b w:val="1"/>
    </w:rPr>
  </w:style>
  <w:style w:styleId="DefaultTable" w:type="table">
    <w:basedOn w:val="TableNormal"/>
    <w:tblPr>
      <w:tblStyleRowBandSize w:val="1"/>
      <w:tblStyleColBandSize w:val="1"/>
    </w:tblPr>
    <w:tblStylePr w:type="band1Horz"/>
    <w:tblStylePr w:type="band1Vert"/>
    <w:tblStylePr w:type="band2Horz"/>
    <w:tblStylePr w:type="band2Vert"/>
    <w:tblStylePr w:type="firstCol"/>
    <w:tblStylePr w:type="firstRow"/>
    <w:tblStylePr w:type="lastCol"/>
    <w:tblStylePr w:type="lastRow"/>
    <w:tblStylePr w:type="neCell"/>
    <w:tblStylePr w:type="nwCell"/>
    <w:tblStylePr w:type="seCell"/>
    <w:tblStylePr w:type="swCell"/>
  </w:style>
</w:styles>
</file>

<file path=word/_rels/document.xml.rels><?xml version="1.0" encoding="UTF-8" standalone="yes"?>
<Relationships xmlns="http://schemas.openxmlformats.org/package/2006/relationships"><Relationship Target="fontTable.xml" Type="http://schemas.openxmlformats.org/officeDocument/2006/relationships/fontTable" Id="rId1"/><Relationship Target="footer1.xml" Type="http://schemas.openxmlformats.org/officeDocument/2006/relationships/footer" Id="rId2"/><Relationship Target="footer2.xml" Type="http://schemas.openxmlformats.org/officeDocument/2006/relationships/footer" Id="rId3"/><Relationship Target="numbering.xml" Type="http://schemas.openxmlformats.org/officeDocument/2006/relationships/numbering" Id="rId4"/><Relationship Target="settings.xml" Type="http://schemas.openxmlformats.org/officeDocument/2006/relationships/settings" Id="rId5"/><Relationship Target="styles.xml" Type="http://schemas.openxmlformats.org/officeDocument/2006/relationships/styles" Id="rId6"/><Relationship Target="header1.xml" Type="http://schemas.openxmlformats.org/officeDocument/2006/relationships/header" Id="rId7"/><Relationship Target="header2.xml" Type="http://schemas.openxmlformats.org/officeDocument/2006/relationships/header" Id="rId8"/></Relationships>

</file>

<file path=docProps/app.xml><?xml version="1.0" encoding="utf-8"?>
<Properties xmlns="http://schemas.openxmlformats.org/officeDocument/2006/extended-properties" xmlns:vt="http://schemas.openxmlformats.org/officeDocument/2006/docPropsVTypes">
  <Application>Caracal</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anotācija_(ex_ante)_24-TA-3183.docx</dc:title>
</cp:coreProperties>
</file>

<file path=docProps/custom.xml><?xml version="1.0" encoding="utf-8"?>
<Properties xmlns="http://schemas.openxmlformats.org/officeDocument/2006/custom-properties" xmlns:vt="http://schemas.openxmlformats.org/officeDocument/2006/docPropsVTypes"/>
</file>